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b/>
          <w:snapToGrid w:val="0"/>
          <w:color w:val="FF0000"/>
          <w:spacing w:val="-22"/>
          <w:sz w:val="90"/>
          <w:szCs w:val="90"/>
        </w:rPr>
      </w:pPr>
    </w:p>
    <w:p>
      <w:pPr>
        <w:jc w:val="center"/>
        <w:rPr>
          <w:rFonts w:hint="eastAsia" w:ascii="宋体" w:hAnsi="宋体"/>
          <w:b/>
          <w:snapToGrid w:val="0"/>
          <w:color w:val="FF0000"/>
          <w:spacing w:val="-22"/>
          <w:kern w:val="0"/>
          <w:sz w:val="90"/>
          <w:szCs w:val="90"/>
        </w:rPr>
      </w:pPr>
    </w:p>
    <w:p>
      <w:pPr>
        <w:jc w:val="center"/>
        <w:rPr>
          <w:rFonts w:hint="eastAsia" w:ascii="Bookman Old Style" w:hAnsi="Bookman Old Style"/>
          <w:b/>
          <w:color w:val="FF0000"/>
          <w:spacing w:val="-22"/>
          <w:w w:val="90"/>
          <w:sz w:val="100"/>
          <w:szCs w:val="100"/>
        </w:rPr>
      </w:pPr>
      <w:r>
        <w:rPr>
          <w:rFonts w:hint="eastAsia" w:ascii="宋体" w:hAnsi="宋体"/>
          <w:b/>
          <w:snapToGrid w:val="0"/>
          <w:color w:val="FF0000"/>
          <w:spacing w:val="-22"/>
          <w:kern w:val="0"/>
          <w:sz w:val="100"/>
          <w:szCs w:val="100"/>
        </w:rPr>
        <w:t>三明学院教务处文件</w:t>
      </w:r>
    </w:p>
    <w:p>
      <w:pPr>
        <w:spacing w:line="400" w:lineRule="exact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400" w:lineRule="exact"/>
        <w:jc w:val="center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明</w:t>
      </w:r>
      <w:r>
        <w:rPr>
          <w:rFonts w:hint="eastAsia" w:ascii="仿宋_GB2312" w:hAnsi="宋体" w:eastAsia="仿宋_GB2312"/>
          <w:sz w:val="32"/>
          <w:szCs w:val="32"/>
          <w:lang w:val="en-US" w:eastAsia="zh-Hans"/>
        </w:rPr>
        <w:t>学院</w:t>
      </w:r>
      <w:r>
        <w:rPr>
          <w:rFonts w:hint="eastAsia" w:ascii="仿宋_GB2312" w:hAnsi="宋体" w:eastAsia="仿宋_GB2312"/>
          <w:sz w:val="32"/>
          <w:szCs w:val="32"/>
        </w:rPr>
        <w:t>教</w:t>
      </w:r>
      <w:r>
        <w:rPr>
          <w:rFonts w:hint="eastAsia" w:ascii="仿宋_GB2312" w:hAnsi="宋体" w:eastAsia="仿宋_GB2312"/>
          <w:sz w:val="32"/>
          <w:szCs w:val="32"/>
          <w:lang w:val="en-US" w:eastAsia="zh-Hans"/>
        </w:rPr>
        <w:t>字</w:t>
      </w:r>
      <w:r>
        <w:rPr>
          <w:rFonts w:hint="eastAsia" w:ascii="仿宋_GB2312" w:hAnsi="宋体" w:eastAsia="仿宋_GB2312"/>
          <w:sz w:val="32"/>
          <w:szCs w:val="32"/>
        </w:rPr>
        <w:t>〔20</w:t>
      </w:r>
      <w:r>
        <w:rPr>
          <w:rFonts w:hint="default" w:ascii="仿宋_GB2312" w:hAnsi="宋体" w:eastAsia="仿宋_GB2312"/>
          <w:sz w:val="32"/>
          <w:szCs w:val="32"/>
        </w:rPr>
        <w:t>2</w:t>
      </w:r>
      <w:r>
        <w:rPr>
          <w:rFonts w:hint="default" w:ascii="仿宋_GB2312" w:hAnsi="宋体" w:eastAsia="仿宋_GB2312"/>
          <w:sz w:val="32"/>
          <w:szCs w:val="32"/>
          <w:lang w:val="en-US"/>
        </w:rPr>
        <w:t>3</w:t>
      </w:r>
      <w:r>
        <w:rPr>
          <w:rFonts w:hint="eastAsia" w:ascii="仿宋_GB2312" w:hAnsi="宋体" w:eastAsia="仿宋_GB2312"/>
          <w:sz w:val="32"/>
          <w:szCs w:val="32"/>
        </w:rPr>
        <w:t>〕</w:t>
      </w:r>
      <w:r>
        <w:rPr>
          <w:rFonts w:hint="default" w:ascii="仿宋_GB2312" w:hAnsi="宋体" w:eastAsia="仿宋_GB2312"/>
          <w:sz w:val="32"/>
          <w:szCs w:val="32"/>
          <w:lang w:val="en-US"/>
        </w:rPr>
        <w:t>24</w:t>
      </w:r>
      <w:r>
        <w:rPr>
          <w:rFonts w:hint="eastAsia" w:ascii="仿宋_GB2312" w:hAnsi="宋体" w:eastAsia="仿宋_GB2312"/>
          <w:sz w:val="32"/>
          <w:szCs w:val="32"/>
        </w:rPr>
        <w:t>号</w:t>
      </w:r>
    </w:p>
    <w:p>
      <w:pPr>
        <w:spacing w:line="540" w:lineRule="exact"/>
        <w:rPr>
          <w:rFonts w:hint="eastAsia"/>
        </w:rPr>
      </w:pPr>
      <w:r>
        <w:rPr>
          <w:rFonts w:hint="eastAsia" w:ascii="仿宋_GB2312" w:hAnsi="宋体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185420</wp:posOffset>
                </wp:positionV>
                <wp:extent cx="5629275" cy="0"/>
                <wp:effectExtent l="0" t="19050" r="9525" b="317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29275" cy="0"/>
                        </a:xfrm>
                        <a:prstGeom prst="line">
                          <a:avLst/>
                        </a:prstGeom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.35pt;margin-top:14.6pt;height:0pt;width:443.25pt;z-index:251660288;mso-width-relative:page;mso-height-relative:page;" filled="f" stroked="t" coordsize="21600,21600" o:gfxdata="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F3TsVrZAAAACAEAAA8AAAAAAAAAAQAgAAAAIgAAAGRycy9kb3ducmV2Lnht&#10;bFBLAQIUABQAAAAIAIdO4kDAAJBV+AEAAOUDAAAOAAAAAAAAAAEAIAAAACgBAABkcnMvZTJvRG9j&#10;LnhtbFBLBQYAAAAABgAGAFkBAACSBQAAAAA=&#10;">
                <v:fill on="f" focussize="0,0"/>
                <v:stroke weight="3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Cs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Hans"/>
        </w:rPr>
        <w:t>关于公布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首届示范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Hans"/>
        </w:rPr>
        <w:t>（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优秀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Hans"/>
        </w:rPr>
        <w:t>）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课堂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Hans"/>
        </w:rPr>
        <w:t>名单的通知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Hans" w:bidi="ar"/>
        </w:rPr>
        <w:t>各学院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Hans" w:bidi="ar"/>
        </w:rPr>
        <w:t>：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 xml:space="preserve">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5"/>
        <w:jc w:val="left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Hans" w:bidi="ar"/>
        </w:rPr>
      </w:pP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经教师申报、学院初审、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教务处复审、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专家评审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Hans" w:bidi="ar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经公示无疑义，现确定《微积分》等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6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门课程为首届示范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Hans" w:bidi="ar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优秀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Hans" w:bidi="ar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课堂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。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Hans" w:bidi="ar"/>
        </w:rPr>
        <w:t>2023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Hans" w:bidi="ar"/>
        </w:rPr>
        <w:t>年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Hans" w:bidi="ar"/>
        </w:rPr>
        <w:t>8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Hans" w:bidi="ar"/>
        </w:rPr>
        <w:t>月至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Hans" w:bidi="ar"/>
        </w:rPr>
        <w:t>2025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Hans" w:bidi="ar"/>
        </w:rPr>
        <w:t>年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Hans" w:bidi="ar"/>
        </w:rPr>
        <w:t>7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Hans" w:bidi="ar"/>
        </w:rPr>
        <w:t>月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以上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示范（优秀）课堂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获得者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每学</w:t>
      </w:r>
      <w:bookmarkStart w:id="0" w:name="_GoBack"/>
      <w:bookmarkEnd w:id="0"/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年至少开设2次公开课和1次主题教学沙龙活动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。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示范（优秀）课堂视同校级一流课程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，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给予教学建设绩效积分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Hans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Hans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Hans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Hans" w:bidi="ar"/>
        </w:rPr>
        <w:t>附件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Hans" w:bidi="ar"/>
        </w:rPr>
        <w:t>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Hans" w:bidi="ar"/>
        </w:rPr>
        <w:t>三明学院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首届示范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Hans" w:bidi="ar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优秀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Hans" w:bidi="ar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课堂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Hans" w:bidi="ar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Hans" w:bidi="ar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Hans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Hans" w:bidi="ar"/>
        </w:rPr>
        <w:t>教务处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Hans" w:bidi="ar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425" w:num="1"/>
          <w:docGrid w:type="lines" w:linePitch="312" w:charSpace="0"/>
        </w:sectPr>
      </w:pP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Hans" w:bidi="ar"/>
        </w:rPr>
        <w:t>2023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Hans" w:bidi="ar"/>
        </w:rPr>
        <w:t>年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Hans" w:bidi="ar"/>
        </w:rPr>
        <w:t>7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Hans" w:bidi="ar"/>
        </w:rPr>
        <w:t>月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Hans" w:bidi="ar"/>
        </w:rPr>
        <w:t>12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Hans" w:bidi="ar"/>
        </w:rPr>
        <w:t>日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Hans" w:bidi="ar"/>
        </w:rPr>
        <w:t xml:space="preserve">   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bCs/>
          <w:sz w:val="24"/>
          <w:szCs w:val="24"/>
          <w:lang w:val="en-US" w:eastAsia="zh-Hans"/>
        </w:rPr>
      </w:pPr>
      <w:r>
        <w:rPr>
          <w:rFonts w:hint="eastAsia" w:ascii="方正小标宋简体" w:hAnsi="方正小标宋简体" w:eastAsia="方正小标宋简体" w:cs="方正小标宋简体"/>
          <w:bCs/>
          <w:sz w:val="24"/>
          <w:szCs w:val="24"/>
          <w:lang w:val="en-US" w:eastAsia="zh-Hans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  <w:lang w:val="en-US" w:eastAsia="zh-CN"/>
        </w:rPr>
        <w:t>三明学院首届示范（优秀）课堂名单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sz w:val="40"/>
          <w:szCs w:val="40"/>
          <w:lang w:val="en-US" w:eastAsia="zh-CN"/>
        </w:rPr>
      </w:pPr>
    </w:p>
    <w:tbl>
      <w:tblPr>
        <w:tblStyle w:val="5"/>
        <w:tblW w:w="824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1650"/>
        <w:gridCol w:w="3316"/>
        <w:gridCol w:w="25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教师姓名</w:t>
            </w:r>
          </w:p>
        </w:tc>
        <w:tc>
          <w:tcPr>
            <w:tcW w:w="33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示范（优秀）课堂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25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开课学院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林丽华</w:t>
            </w:r>
          </w:p>
        </w:tc>
        <w:tc>
          <w:tcPr>
            <w:tcW w:w="33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微积分</w:t>
            </w:r>
          </w:p>
        </w:tc>
        <w:tc>
          <w:tcPr>
            <w:tcW w:w="25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信息工程学院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郑顺婷</w:t>
            </w:r>
          </w:p>
        </w:tc>
        <w:tc>
          <w:tcPr>
            <w:tcW w:w="33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中国古代文学</w:t>
            </w:r>
          </w:p>
        </w:tc>
        <w:tc>
          <w:tcPr>
            <w:tcW w:w="25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文化传播学院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刘阳</w:t>
            </w:r>
          </w:p>
        </w:tc>
        <w:tc>
          <w:tcPr>
            <w:tcW w:w="33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人机工程学</w:t>
            </w:r>
          </w:p>
        </w:tc>
        <w:tc>
          <w:tcPr>
            <w:tcW w:w="25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艺术与设计学院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徐涛</w:t>
            </w:r>
          </w:p>
        </w:tc>
        <w:tc>
          <w:tcPr>
            <w:tcW w:w="33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大学信息技术与应用</w:t>
            </w:r>
          </w:p>
        </w:tc>
        <w:tc>
          <w:tcPr>
            <w:tcW w:w="25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信息工程学院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杨红梅</w:t>
            </w:r>
          </w:p>
        </w:tc>
        <w:tc>
          <w:tcPr>
            <w:tcW w:w="33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乡村振兴创业实践</w:t>
            </w:r>
          </w:p>
        </w:tc>
        <w:tc>
          <w:tcPr>
            <w:tcW w:w="25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创业管理学院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黄菊芬</w:t>
            </w:r>
          </w:p>
        </w:tc>
        <w:tc>
          <w:tcPr>
            <w:tcW w:w="33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综合商务英语</w:t>
            </w:r>
          </w:p>
        </w:tc>
        <w:tc>
          <w:tcPr>
            <w:tcW w:w="25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海外学院</w:t>
            </w:r>
          </w:p>
        </w:tc>
      </w:tr>
    </w:tbl>
    <w:p>
      <w:pPr>
        <w:rPr>
          <w:rFonts w:hint="eastAsia"/>
          <w:sz w:val="28"/>
          <w:szCs w:val="28"/>
          <w:lang w:val="en-US" w:eastAsia="zh-CN"/>
        </w:rPr>
      </w:pPr>
    </w:p>
    <w:sectPr>
      <w:pgSz w:w="11906" w:h="16838"/>
      <w:pgMar w:top="1474" w:right="1984" w:bottom="1587" w:left="209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  <w:font w:name="仿宋_GB2312">
    <w:altName w:val="仿宋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